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98AE" w14:textId="67B31599" w:rsidR="001C6303" w:rsidRPr="008B3EB2" w:rsidRDefault="001C6303" w:rsidP="001C6303">
      <w:pPr>
        <w:pStyle w:val="Heading4"/>
        <w:spacing w:line="480" w:lineRule="auto"/>
        <w:rPr>
          <w:rFonts w:ascii="Garamond" w:hAnsi="Garamond"/>
          <w:i/>
        </w:rPr>
      </w:pPr>
      <w:r w:rsidRPr="008B3EB2">
        <w:rPr>
          <w:rFonts w:ascii="Garamond" w:hAnsi="Garamond"/>
        </w:rPr>
        <w:t>Abstract:</w:t>
      </w:r>
    </w:p>
    <w:p w14:paraId="4D020C06" w14:textId="77777777" w:rsidR="001C6303" w:rsidRDefault="001C6303" w:rsidP="001C6303">
      <w:pPr>
        <w:spacing w:line="480" w:lineRule="auto"/>
        <w:rPr>
          <w:rFonts w:ascii="Garamond" w:eastAsia="Garamond" w:hAnsi="Garamond" w:cs="Garamond"/>
        </w:rPr>
      </w:pPr>
      <w:r w:rsidRPr="009A2DF7">
        <w:rPr>
          <w:rFonts w:ascii="Garamond" w:eastAsia="Garamond" w:hAnsi="Garamond" w:cs="Garamond"/>
        </w:rPr>
        <w:t>Boreal peatlands are important global carbon reservoirs that are</w:t>
      </w:r>
      <w:r>
        <w:rPr>
          <w:rFonts w:ascii="Garamond" w:eastAsia="Garamond" w:hAnsi="Garamond" w:cs="Garamond"/>
        </w:rPr>
        <w:t xml:space="preserve"> </w:t>
      </w:r>
      <w:r w:rsidRPr="009A2DF7">
        <w:rPr>
          <w:rFonts w:ascii="Garamond" w:eastAsia="Garamond" w:hAnsi="Garamond" w:cs="Garamond"/>
        </w:rPr>
        <w:t xml:space="preserve">particularly </w:t>
      </w:r>
      <w:r>
        <w:rPr>
          <w:rFonts w:ascii="Garamond" w:eastAsia="Garamond" w:hAnsi="Garamond" w:cs="Garamond"/>
        </w:rPr>
        <w:t>vulnerable</w:t>
      </w:r>
      <w:r w:rsidRPr="009A2DF7">
        <w:rPr>
          <w:rFonts w:ascii="Garamond" w:eastAsia="Garamond" w:hAnsi="Garamond" w:cs="Garamond"/>
        </w:rPr>
        <w:t xml:space="preserve"> </w:t>
      </w:r>
      <w:r>
        <w:rPr>
          <w:rFonts w:ascii="Garamond" w:eastAsia="Garamond" w:hAnsi="Garamond" w:cs="Garamond"/>
        </w:rPr>
        <w:t>to</w:t>
      </w:r>
      <w:r w:rsidRPr="009A2DF7">
        <w:rPr>
          <w:rFonts w:ascii="Garamond" w:eastAsia="Garamond" w:hAnsi="Garamond" w:cs="Garamond"/>
        </w:rPr>
        <w:t xml:space="preserve"> </w:t>
      </w:r>
      <w:r>
        <w:rPr>
          <w:rFonts w:ascii="Garamond" w:eastAsia="Garamond" w:hAnsi="Garamond" w:cs="Garamond"/>
        </w:rPr>
        <w:t xml:space="preserve">predicted </w:t>
      </w:r>
      <w:r w:rsidRPr="009A2DF7">
        <w:rPr>
          <w:rFonts w:ascii="Garamond" w:eastAsia="Garamond" w:hAnsi="Garamond" w:cs="Garamond"/>
        </w:rPr>
        <w:t>climate change</w:t>
      </w:r>
      <w:r>
        <w:rPr>
          <w:rFonts w:ascii="Garamond" w:eastAsia="Garamond" w:hAnsi="Garamond" w:cs="Garamond"/>
        </w:rPr>
        <w:t>s such as increasing CO</w:t>
      </w:r>
      <w:r w:rsidRPr="00AB632E">
        <w:rPr>
          <w:rFonts w:ascii="Garamond" w:eastAsia="Garamond" w:hAnsi="Garamond" w:cs="Garamond"/>
          <w:vertAlign w:val="subscript"/>
        </w:rPr>
        <w:t>2</w:t>
      </w:r>
      <w:r>
        <w:rPr>
          <w:rFonts w:ascii="Garamond" w:eastAsia="Garamond" w:hAnsi="Garamond" w:cs="Garamond"/>
        </w:rPr>
        <w:t xml:space="preserve"> and temperature</w:t>
      </w:r>
      <w:r w:rsidRPr="009A2DF7"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</w:rPr>
        <w:t xml:space="preserve"> Since microbial activities regulate the balance of carbon sequestered into soil organic matter or </w:t>
      </w:r>
      <w:proofErr w:type="spellStart"/>
      <w:r>
        <w:rPr>
          <w:rFonts w:ascii="Garamond" w:eastAsia="Garamond" w:hAnsi="Garamond" w:cs="Garamond"/>
        </w:rPr>
        <w:t>remineralized</w:t>
      </w:r>
      <w:proofErr w:type="spellEnd"/>
      <w:r>
        <w:rPr>
          <w:rFonts w:ascii="Garamond" w:eastAsia="Garamond" w:hAnsi="Garamond" w:cs="Garamond"/>
        </w:rPr>
        <w:t xml:space="preserve"> to CO</w:t>
      </w:r>
      <w:r>
        <w:rPr>
          <w:rFonts w:ascii="Garamond" w:eastAsia="Garamond" w:hAnsi="Garamond" w:cs="Garamond"/>
          <w:vertAlign w:val="subscript"/>
        </w:rPr>
        <w:t>2</w:t>
      </w:r>
      <w:r>
        <w:rPr>
          <w:rFonts w:ascii="Garamond" w:eastAsia="Garamond" w:hAnsi="Garamond" w:cs="Garamond"/>
        </w:rPr>
        <w:t xml:space="preserve">, characterizing their response to these environmental factors is critical to predicting how peatland ecosystems will affect </w:t>
      </w:r>
      <w:r w:rsidRPr="00EA645A">
        <w:rPr>
          <w:rFonts w:ascii="Garamond" w:eastAsia="Garamond" w:hAnsi="Garamond" w:cs="Garamond"/>
        </w:rPr>
        <w:t>climate-carbon cycle feedbacks</w:t>
      </w:r>
      <w:r>
        <w:rPr>
          <w:rFonts w:ascii="Garamond" w:eastAsia="Garamond" w:hAnsi="Garamond" w:cs="Garamond"/>
        </w:rPr>
        <w:t xml:space="preserve">. Here, we examined </w:t>
      </w:r>
      <w:r w:rsidRPr="00C40B10">
        <w:rPr>
          <w:rFonts w:ascii="Garamond" w:eastAsia="Garamond" w:hAnsi="Garamond" w:cs="Garamond"/>
          <w:i/>
          <w:iCs/>
        </w:rPr>
        <w:t>in</w:t>
      </w:r>
      <w:r>
        <w:rPr>
          <w:rFonts w:ascii="Garamond" w:eastAsia="Garamond" w:hAnsi="Garamond" w:cs="Garamond"/>
          <w:i/>
          <w:iCs/>
        </w:rPr>
        <w:t>-</w:t>
      </w:r>
      <w:r w:rsidRPr="00C40B10">
        <w:rPr>
          <w:rFonts w:ascii="Garamond" w:eastAsia="Garamond" w:hAnsi="Garamond" w:cs="Garamond"/>
          <w:i/>
          <w:iCs/>
        </w:rPr>
        <w:t>situ</w:t>
      </w:r>
      <w:r>
        <w:rPr>
          <w:rFonts w:ascii="Garamond" w:eastAsia="Garamond" w:hAnsi="Garamond" w:cs="Garamond"/>
        </w:rPr>
        <w:t xml:space="preserve"> taxon-specific variation in microbial growth under long-term elevated CO</w:t>
      </w:r>
      <w:r w:rsidRPr="00C40B10">
        <w:rPr>
          <w:rFonts w:ascii="Garamond" w:eastAsia="Garamond" w:hAnsi="Garamond" w:cs="Garamond"/>
          <w:vertAlign w:val="subscript"/>
        </w:rPr>
        <w:t>2</w:t>
      </w:r>
      <w:r>
        <w:rPr>
          <w:rFonts w:ascii="Garamond" w:eastAsia="Garamond" w:hAnsi="Garamond" w:cs="Garamond"/>
        </w:rPr>
        <w:t xml:space="preserve"> and across a gradient of warming treatments in a northern Minnesota peat bog using quantitative stable isotope probing with </w:t>
      </w:r>
      <w:r w:rsidRPr="00C40B10">
        <w:rPr>
          <w:rFonts w:ascii="Garamond" w:eastAsia="Garamond" w:hAnsi="Garamond" w:cs="Garamond"/>
          <w:vertAlign w:val="superscript"/>
        </w:rPr>
        <w:t>18</w:t>
      </w:r>
      <w:r>
        <w:rPr>
          <w:rFonts w:ascii="Garamond" w:eastAsia="Garamond" w:hAnsi="Garamond" w:cs="Garamond"/>
        </w:rPr>
        <w:t xml:space="preserve">O-water. Across temperatures, bacterial taxa were grouped according to the excess atom fraction </w:t>
      </w:r>
      <w:r>
        <w:rPr>
          <w:rFonts w:ascii="Garamond" w:eastAsia="Garamond" w:hAnsi="Garamond" w:cs="Garamond"/>
          <w:vertAlign w:val="superscript"/>
        </w:rPr>
        <w:t>18</w:t>
      </w:r>
      <w:r>
        <w:rPr>
          <w:rFonts w:ascii="Garamond" w:eastAsia="Garamond" w:hAnsi="Garamond" w:cs="Garamond"/>
        </w:rPr>
        <w:t>O (EAF) of their genomes, a proxy for DNA replication and hence, growth. Taxon-specific growth across CO</w:t>
      </w:r>
      <w:r w:rsidRPr="00C40B10">
        <w:rPr>
          <w:rFonts w:ascii="Garamond" w:eastAsia="Garamond" w:hAnsi="Garamond" w:cs="Garamond"/>
          <w:vertAlign w:val="subscript"/>
        </w:rPr>
        <w:t>2</w:t>
      </w:r>
      <w:r>
        <w:rPr>
          <w:rFonts w:ascii="Garamond" w:eastAsia="Garamond" w:hAnsi="Garamond" w:cs="Garamond"/>
        </w:rPr>
        <w:t xml:space="preserve"> and temperature treatments clustered into relatively few response patterns. While a large portion of taxa showed little to no growth under ambient CO</w:t>
      </w:r>
      <w:r>
        <w:rPr>
          <w:rFonts w:ascii="Garamond" w:eastAsia="Garamond" w:hAnsi="Garamond" w:cs="Garamond"/>
          <w:vertAlign w:val="subscript"/>
        </w:rPr>
        <w:t>2</w:t>
      </w:r>
      <w:r>
        <w:rPr>
          <w:rFonts w:ascii="Garamond" w:eastAsia="Garamond" w:hAnsi="Garamond" w:cs="Garamond"/>
        </w:rPr>
        <w:t>, many of the same taxa grew rapidly under elevated CO</w:t>
      </w:r>
      <w:r>
        <w:rPr>
          <w:rFonts w:ascii="Garamond" w:eastAsia="Garamond" w:hAnsi="Garamond" w:cs="Garamond"/>
          <w:vertAlign w:val="subscript"/>
        </w:rPr>
        <w:t>2</w:t>
      </w:r>
      <w:r>
        <w:rPr>
          <w:rFonts w:ascii="Garamond" w:eastAsia="Garamond" w:hAnsi="Garamond" w:cs="Garamond"/>
        </w:rPr>
        <w:t xml:space="preserve">. We found support for phylogenetic conservation of response patterns among </w:t>
      </w:r>
      <w:proofErr w:type="spellStart"/>
      <w:r>
        <w:rPr>
          <w:rFonts w:ascii="Garamond" w:eastAsia="Garamond" w:hAnsi="Garamond" w:cs="Garamond"/>
        </w:rPr>
        <w:t>Acidobacteria</w:t>
      </w:r>
      <w:proofErr w:type="spellEnd"/>
      <w:r>
        <w:rPr>
          <w:rFonts w:ascii="Garamond" w:eastAsia="Garamond" w:hAnsi="Garamond" w:cs="Garamond"/>
        </w:rPr>
        <w:t xml:space="preserve"> and Proteobacteria, the two most abundant phyla in our data</w:t>
      </w:r>
      <w:r w:rsidRPr="007741E5">
        <w:rPr>
          <w:rFonts w:ascii="Garamond" w:eastAsia="Garamond" w:hAnsi="Garamond" w:cs="Garamond"/>
        </w:rPr>
        <w:t>.</w:t>
      </w:r>
      <w:r w:rsidRPr="00F33685">
        <w:rPr>
          <w:rFonts w:ascii="Garamond" w:hAnsi="Garamond"/>
        </w:rPr>
        <w:t xml:space="preserve"> Our results suggest </w:t>
      </w:r>
      <w:r>
        <w:rPr>
          <w:rFonts w:ascii="Garamond" w:hAnsi="Garamond"/>
        </w:rPr>
        <w:t>certain</w:t>
      </w:r>
      <w:r w:rsidRPr="00F33685">
        <w:rPr>
          <w:rFonts w:ascii="Garamond" w:hAnsi="Garamond"/>
        </w:rPr>
        <w:t xml:space="preserve"> taxa may be </w:t>
      </w:r>
      <w:r>
        <w:rPr>
          <w:rFonts w:ascii="Garamond" w:hAnsi="Garamond"/>
        </w:rPr>
        <w:t>primed for</w:t>
      </w:r>
      <w:r w:rsidRPr="00F33685">
        <w:rPr>
          <w:rFonts w:ascii="Garamond" w:hAnsi="Garamond"/>
        </w:rPr>
        <w:t xml:space="preserve"> new climate conditions and </w:t>
      </w:r>
      <w:r>
        <w:rPr>
          <w:rFonts w:ascii="Garamond" w:hAnsi="Garamond"/>
        </w:rPr>
        <w:t>have a greater influence on carbon cycling</w:t>
      </w:r>
      <w:r>
        <w:rPr>
          <w:rFonts w:ascii="Garamond" w:eastAsia="Garamond" w:hAnsi="Garamond" w:cs="Garamond"/>
        </w:rPr>
        <w:t xml:space="preserve"> with implications for future climate mitigation strategies.</w:t>
      </w:r>
    </w:p>
    <w:p w14:paraId="75C26A12" w14:textId="77777777" w:rsidR="007A7000" w:rsidRDefault="007A7000"/>
    <w:sectPr w:rsidR="007A7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303"/>
    <w:rsid w:val="001C6303"/>
    <w:rsid w:val="005C5680"/>
    <w:rsid w:val="007A7000"/>
    <w:rsid w:val="00BC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9E17E5"/>
  <w15:chartTrackingRefBased/>
  <w15:docId w15:val="{93C65F5A-5DF5-794F-9796-0C476173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303"/>
    <w:rPr>
      <w:rFonts w:ascii="Times New Roman" w:eastAsia="Times New Roman" w:hAnsi="Times New Roman" w:cs="Times New Roman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6303"/>
    <w:pPr>
      <w:keepNext/>
      <w:keepLines/>
      <w:spacing w:before="240" w:after="4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C6303"/>
    <w:rPr>
      <w:rFonts w:ascii="Times New Roman" w:eastAsia="Times New Roman" w:hAnsi="Times New Roman" w:cs="Times New Roman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Bell, Sheryl L</dc:creator>
  <cp:keywords/>
  <dc:description/>
  <cp:lastModifiedBy>Bell, Sheryl L</cp:lastModifiedBy>
  <cp:revision>1</cp:revision>
  <dcterms:created xsi:type="dcterms:W3CDTF">2021-08-30T00:17:00Z</dcterms:created>
  <dcterms:modified xsi:type="dcterms:W3CDTF">2021-08-30T00:18:00Z</dcterms:modified>
</cp:coreProperties>
</file>